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59C9" w14:textId="77777777" w:rsidR="00926D00" w:rsidRDefault="00926D00" w:rsidP="00D92720">
      <w:pPr>
        <w:spacing w:after="0"/>
        <w:rPr>
          <w:b/>
          <w:color w:val="1F4E79" w:themeColor="accent1" w:themeShade="80"/>
          <w:sz w:val="20"/>
          <w:szCs w:val="20"/>
        </w:rPr>
      </w:pPr>
    </w:p>
    <w:p w14:paraId="4729562D" w14:textId="77777777" w:rsidR="00D92720" w:rsidRPr="00B7159B" w:rsidRDefault="00DD58E8" w:rsidP="00D92720">
      <w:pPr>
        <w:spacing w:after="0"/>
        <w:rPr>
          <w:b/>
          <w:color w:val="1F4E79" w:themeColor="accent1" w:themeShade="80"/>
          <w:sz w:val="20"/>
          <w:szCs w:val="20"/>
        </w:rPr>
      </w:pPr>
      <w:r w:rsidRPr="00B7159B">
        <w:rPr>
          <w:b/>
          <w:color w:val="1F4E79" w:themeColor="accent1" w:themeShade="80"/>
          <w:sz w:val="20"/>
          <w:szCs w:val="20"/>
        </w:rPr>
        <w:t xml:space="preserve">PURPOSE </w:t>
      </w:r>
      <w:r w:rsidR="00EB374D" w:rsidRPr="00B7159B">
        <w:rPr>
          <w:b/>
          <w:color w:val="1F4E79" w:themeColor="accent1" w:themeShade="80"/>
          <w:sz w:val="20"/>
          <w:szCs w:val="20"/>
        </w:rPr>
        <w:t>AND BACKGROUND</w:t>
      </w:r>
    </w:p>
    <w:p w14:paraId="17DBD43E" w14:textId="1C4AA0C8" w:rsidR="00103410" w:rsidRDefault="00DD58E8" w:rsidP="00CE58FB">
      <w:pPr>
        <w:spacing w:after="0" w:line="240" w:lineRule="auto"/>
        <w:rPr>
          <w:sz w:val="20"/>
          <w:szCs w:val="20"/>
        </w:rPr>
      </w:pPr>
      <w:r w:rsidRPr="005E3F0F">
        <w:rPr>
          <w:sz w:val="20"/>
          <w:szCs w:val="20"/>
        </w:rPr>
        <w:t>The purpose of the Resilience Project is to provide trauma-informed supports to build resilience factors and mitigate the impact of</w:t>
      </w:r>
      <w:r w:rsidR="00DA2656">
        <w:rPr>
          <w:sz w:val="20"/>
          <w:szCs w:val="20"/>
        </w:rPr>
        <w:t xml:space="preserve"> stress or</w:t>
      </w:r>
      <w:r w:rsidRPr="005E3F0F">
        <w:rPr>
          <w:sz w:val="20"/>
          <w:szCs w:val="20"/>
        </w:rPr>
        <w:t xml:space="preserve"> trauma.  The project engages children and young adults</w:t>
      </w:r>
      <w:r w:rsidR="00470018">
        <w:rPr>
          <w:sz w:val="20"/>
          <w:szCs w:val="20"/>
        </w:rPr>
        <w:t xml:space="preserve"> </w:t>
      </w:r>
      <w:r w:rsidRPr="005E3F0F">
        <w:rPr>
          <w:sz w:val="20"/>
          <w:szCs w:val="20"/>
        </w:rPr>
        <w:t>who have experienced</w:t>
      </w:r>
      <w:r w:rsidR="00DA2656">
        <w:rPr>
          <w:sz w:val="20"/>
          <w:szCs w:val="20"/>
        </w:rPr>
        <w:t xml:space="preserve"> stress or</w:t>
      </w:r>
      <w:r w:rsidRPr="005E3F0F">
        <w:rPr>
          <w:sz w:val="20"/>
          <w:szCs w:val="20"/>
        </w:rPr>
        <w:t xml:space="preserve"> trauma and have an intellectual/developmental disability and mental health diagnosis</w:t>
      </w:r>
      <w:r w:rsidR="00CE58FB">
        <w:rPr>
          <w:sz w:val="20"/>
          <w:szCs w:val="20"/>
        </w:rPr>
        <w:t>.</w:t>
      </w:r>
      <w:r w:rsidR="00DA2656">
        <w:rPr>
          <w:sz w:val="20"/>
          <w:szCs w:val="20"/>
        </w:rPr>
        <w:t xml:space="preserve"> </w:t>
      </w:r>
    </w:p>
    <w:p w14:paraId="676A0478" w14:textId="77777777" w:rsidR="00CE58FB" w:rsidRPr="005E3F0F" w:rsidRDefault="00CE58FB" w:rsidP="00CE58FB">
      <w:pPr>
        <w:spacing w:after="0" w:line="240" w:lineRule="auto"/>
        <w:rPr>
          <w:sz w:val="20"/>
          <w:szCs w:val="20"/>
        </w:rPr>
      </w:pPr>
    </w:p>
    <w:p w14:paraId="693A6767" w14:textId="16BDE68A" w:rsidR="00F07AEC" w:rsidRPr="005E3F0F" w:rsidRDefault="00103410" w:rsidP="00F07AEC">
      <w:pPr>
        <w:spacing w:after="0" w:line="240" w:lineRule="auto"/>
        <w:rPr>
          <w:sz w:val="20"/>
          <w:szCs w:val="20"/>
        </w:rPr>
      </w:pPr>
      <w:r w:rsidRPr="005E3F0F">
        <w:rPr>
          <w:sz w:val="20"/>
          <w:szCs w:val="20"/>
        </w:rPr>
        <w:t>The Resilien</w:t>
      </w:r>
      <w:r w:rsidR="00F07AEC">
        <w:rPr>
          <w:sz w:val="20"/>
          <w:szCs w:val="20"/>
        </w:rPr>
        <w:t>ce Project began in 2013 with a</w:t>
      </w:r>
      <w:r w:rsidRPr="005E3F0F">
        <w:rPr>
          <w:sz w:val="20"/>
          <w:szCs w:val="20"/>
        </w:rPr>
        <w:t xml:space="preserve"> grant award to Hamilton County</w:t>
      </w:r>
      <w:r>
        <w:rPr>
          <w:b/>
          <w:sz w:val="20"/>
          <w:szCs w:val="20"/>
        </w:rPr>
        <w:t xml:space="preserve"> </w:t>
      </w:r>
      <w:r w:rsidRPr="005E3F0F">
        <w:rPr>
          <w:sz w:val="20"/>
          <w:szCs w:val="20"/>
        </w:rPr>
        <w:t>DD Services from Ohio MHAS and DODD.  In 2017, the project expanded and Greater Cincinnati Behavioral Health</w:t>
      </w:r>
      <w:r w:rsidR="00EB374D">
        <w:rPr>
          <w:sz w:val="20"/>
          <w:szCs w:val="20"/>
        </w:rPr>
        <w:t xml:space="preserve"> (GCBH)</w:t>
      </w:r>
      <w:r w:rsidRPr="005E3F0F">
        <w:rPr>
          <w:sz w:val="20"/>
          <w:szCs w:val="20"/>
        </w:rPr>
        <w:t>, a long-ti</w:t>
      </w:r>
      <w:r w:rsidR="00EB374D">
        <w:rPr>
          <w:sz w:val="20"/>
          <w:szCs w:val="20"/>
        </w:rPr>
        <w:t>me grant partner, became the pro</w:t>
      </w:r>
      <w:r w:rsidRPr="005E3F0F">
        <w:rPr>
          <w:sz w:val="20"/>
          <w:szCs w:val="20"/>
        </w:rPr>
        <w:t>ject administrator.</w:t>
      </w:r>
      <w:r w:rsidR="00EB374D">
        <w:rPr>
          <w:sz w:val="20"/>
          <w:szCs w:val="20"/>
        </w:rPr>
        <w:t xml:space="preserve"> </w:t>
      </w:r>
      <w:r w:rsidR="00F07AEC" w:rsidRPr="005E3F0F">
        <w:rPr>
          <w:sz w:val="20"/>
          <w:szCs w:val="20"/>
        </w:rPr>
        <w:t>Hamilton</w:t>
      </w:r>
      <w:r w:rsidR="00F07AEC">
        <w:rPr>
          <w:sz w:val="20"/>
          <w:szCs w:val="20"/>
        </w:rPr>
        <w:t xml:space="preserve"> County DD Services, Clermont County Board</w:t>
      </w:r>
      <w:r w:rsidR="00F07AEC" w:rsidRPr="005E3F0F">
        <w:rPr>
          <w:sz w:val="20"/>
          <w:szCs w:val="20"/>
        </w:rPr>
        <w:t xml:space="preserve"> of DD, </w:t>
      </w:r>
      <w:r w:rsidR="00F07AEC">
        <w:rPr>
          <w:sz w:val="20"/>
          <w:szCs w:val="20"/>
        </w:rPr>
        <w:t>Clermont and Butler Child and Family First</w:t>
      </w:r>
      <w:r w:rsidR="00DA2656">
        <w:rPr>
          <w:sz w:val="20"/>
          <w:szCs w:val="20"/>
        </w:rPr>
        <w:t>, Child Focus, and HOPE Community Center</w:t>
      </w:r>
      <w:r w:rsidR="00F07AEC">
        <w:rPr>
          <w:sz w:val="20"/>
          <w:szCs w:val="20"/>
        </w:rPr>
        <w:t xml:space="preserve"> </w:t>
      </w:r>
      <w:r w:rsidR="00F07AEC">
        <w:rPr>
          <w:rFonts w:cs="Arial"/>
          <w:sz w:val="20"/>
          <w:szCs w:val="20"/>
          <w:shd w:val="clear" w:color="auto" w:fill="FFFFFF"/>
        </w:rPr>
        <w:t xml:space="preserve">are </w:t>
      </w:r>
      <w:r w:rsidR="00DA2656">
        <w:rPr>
          <w:rFonts w:cs="Arial"/>
          <w:sz w:val="20"/>
          <w:szCs w:val="20"/>
          <w:shd w:val="clear" w:color="auto" w:fill="FFFFFF"/>
        </w:rPr>
        <w:t xml:space="preserve">key project </w:t>
      </w:r>
      <w:r w:rsidR="00F07AEC">
        <w:rPr>
          <w:rFonts w:cs="Arial"/>
          <w:sz w:val="20"/>
          <w:szCs w:val="20"/>
          <w:shd w:val="clear" w:color="auto" w:fill="FFFFFF"/>
        </w:rPr>
        <w:t>partners</w:t>
      </w:r>
      <w:r w:rsidR="00DA2656">
        <w:rPr>
          <w:rFonts w:cs="Arial"/>
          <w:sz w:val="20"/>
          <w:szCs w:val="20"/>
          <w:shd w:val="clear" w:color="auto" w:fill="FFFFFF"/>
        </w:rPr>
        <w:t>.</w:t>
      </w:r>
    </w:p>
    <w:p w14:paraId="009DC545" w14:textId="77777777" w:rsidR="00CE58FB" w:rsidRDefault="00CE58FB" w:rsidP="00CE58FB">
      <w:pPr>
        <w:spacing w:after="0" w:line="240" w:lineRule="auto"/>
        <w:rPr>
          <w:sz w:val="20"/>
          <w:szCs w:val="20"/>
        </w:rPr>
      </w:pPr>
    </w:p>
    <w:p w14:paraId="25267A62" w14:textId="77777777" w:rsidR="00B7159B" w:rsidRDefault="00B7159B" w:rsidP="00D92720">
      <w:pPr>
        <w:spacing w:after="0"/>
        <w:rPr>
          <w:b/>
          <w:color w:val="1F4E79" w:themeColor="accent1" w:themeShade="80"/>
          <w:sz w:val="20"/>
          <w:szCs w:val="20"/>
        </w:rPr>
      </w:pPr>
    </w:p>
    <w:p w14:paraId="5031CB8E" w14:textId="77777777" w:rsidR="00103410" w:rsidRPr="00B7159B" w:rsidRDefault="00627E5C" w:rsidP="00D92720">
      <w:pPr>
        <w:spacing w:after="0"/>
        <w:rPr>
          <w:sz w:val="20"/>
          <w:szCs w:val="20"/>
        </w:rPr>
      </w:pPr>
      <w:r w:rsidRPr="00B7159B">
        <w:rPr>
          <w:b/>
          <w:color w:val="1F4E79" w:themeColor="accent1" w:themeShade="80"/>
          <w:sz w:val="20"/>
          <w:szCs w:val="20"/>
        </w:rPr>
        <w:t>PROJECT COMPONENTS</w:t>
      </w:r>
    </w:p>
    <w:p w14:paraId="5215E8DF" w14:textId="77777777" w:rsidR="00B75380" w:rsidRPr="005E3F0F" w:rsidRDefault="00B75380" w:rsidP="00B7538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T</w:t>
      </w:r>
      <w:r w:rsidRPr="005E3F0F">
        <w:rPr>
          <w:sz w:val="20"/>
          <w:szCs w:val="20"/>
        </w:rPr>
        <w:t xml:space="preserve">rauma-informed Biographical Timeline to “get on the same page” about the person’s history and ways to support </w:t>
      </w:r>
      <w:r>
        <w:rPr>
          <w:sz w:val="20"/>
          <w:szCs w:val="20"/>
        </w:rPr>
        <w:t>healing and growth</w:t>
      </w:r>
    </w:p>
    <w:p w14:paraId="215AEB24" w14:textId="6362AF93" w:rsidR="00F07AEC" w:rsidRDefault="00DA2656" w:rsidP="00F07AE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07AEC" w:rsidRPr="005E3F0F">
        <w:rPr>
          <w:sz w:val="20"/>
          <w:szCs w:val="20"/>
        </w:rPr>
        <w:t>Resilience Worker</w:t>
      </w:r>
      <w:r w:rsidR="00F07AEC">
        <w:rPr>
          <w:sz w:val="20"/>
          <w:szCs w:val="20"/>
        </w:rPr>
        <w:t xml:space="preserve"> </w:t>
      </w:r>
      <w:r w:rsidR="00F07AEC" w:rsidRPr="005E3F0F">
        <w:rPr>
          <w:sz w:val="20"/>
          <w:szCs w:val="20"/>
        </w:rPr>
        <w:t>offer</w:t>
      </w:r>
      <w:r w:rsidR="00F07AEC">
        <w:rPr>
          <w:sz w:val="20"/>
          <w:szCs w:val="20"/>
        </w:rPr>
        <w:t xml:space="preserve">s </w:t>
      </w:r>
      <w:r w:rsidR="00F07AEC" w:rsidRPr="005E3F0F">
        <w:rPr>
          <w:sz w:val="20"/>
          <w:szCs w:val="20"/>
        </w:rPr>
        <w:t>individual, community-based supports to</w:t>
      </w:r>
      <w:r>
        <w:rPr>
          <w:sz w:val="20"/>
          <w:szCs w:val="20"/>
        </w:rPr>
        <w:t xml:space="preserve"> help the person</w:t>
      </w:r>
      <w:r w:rsidR="00F07AEC" w:rsidRPr="005E3F0F">
        <w:rPr>
          <w:sz w:val="20"/>
          <w:szCs w:val="20"/>
        </w:rPr>
        <w:t xml:space="preserve"> build resilience </w:t>
      </w:r>
    </w:p>
    <w:p w14:paraId="37FB94C7" w14:textId="16CAD4A3" w:rsidR="00F07AEC" w:rsidRPr="00DB29B4" w:rsidRDefault="00DA2656" w:rsidP="00F07AE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Style w:val="bodyhome"/>
          <w:rFonts w:cs="Times New Roman"/>
          <w:sz w:val="24"/>
          <w:szCs w:val="24"/>
          <w:shd w:val="clear" w:color="auto" w:fill="FFFFFF"/>
        </w:rPr>
      </w:pPr>
      <w:r>
        <w:rPr>
          <w:sz w:val="20"/>
          <w:szCs w:val="20"/>
        </w:rPr>
        <w:t>A t</w:t>
      </w:r>
      <w:r w:rsidR="00F07AEC" w:rsidRPr="00074A56">
        <w:rPr>
          <w:rStyle w:val="bodyhome"/>
          <w:rFonts w:cs="Times New Roman"/>
          <w:sz w:val="20"/>
          <w:szCs w:val="20"/>
          <w:shd w:val="clear" w:color="auto" w:fill="FFFFFF"/>
        </w:rPr>
        <w:t>rauma-trained therapist</w:t>
      </w:r>
      <w:r w:rsidR="00F07AEC" w:rsidRPr="00074A56">
        <w:rPr>
          <w:rStyle w:val="bodyhome"/>
          <w:rFonts w:cs="Times New Roman"/>
          <w:i/>
          <w:sz w:val="20"/>
          <w:szCs w:val="20"/>
          <w:shd w:val="clear" w:color="auto" w:fill="FFFFFF"/>
        </w:rPr>
        <w:t xml:space="preserve"> </w:t>
      </w:r>
      <w:r w:rsidR="00F07AEC" w:rsidRPr="00074A56">
        <w:rPr>
          <w:rStyle w:val="bodyhome"/>
          <w:rFonts w:cs="Times New Roman"/>
          <w:sz w:val="20"/>
          <w:szCs w:val="20"/>
          <w:shd w:val="clear" w:color="auto" w:fill="FFFFFF"/>
        </w:rPr>
        <w:t>support</w:t>
      </w:r>
      <w:r w:rsidR="00DB29B4">
        <w:rPr>
          <w:rStyle w:val="bodyhome"/>
          <w:rFonts w:cs="Times New Roman"/>
          <w:sz w:val="20"/>
          <w:szCs w:val="20"/>
          <w:shd w:val="clear" w:color="auto" w:fill="FFFFFF"/>
        </w:rPr>
        <w:t xml:space="preserve">s </w:t>
      </w:r>
      <w:r w:rsidR="00F07AEC" w:rsidRPr="00074A56">
        <w:rPr>
          <w:rStyle w:val="bodyhome"/>
          <w:rFonts w:cs="Times New Roman"/>
          <w:sz w:val="20"/>
          <w:szCs w:val="20"/>
          <w:shd w:val="clear" w:color="auto" w:fill="FFFFFF"/>
        </w:rPr>
        <w:t>trauma recovery</w:t>
      </w:r>
      <w:r w:rsidR="00F07AEC">
        <w:rPr>
          <w:rStyle w:val="bodyhome"/>
          <w:rFonts w:cs="Times New Roman"/>
          <w:sz w:val="20"/>
          <w:szCs w:val="20"/>
          <w:shd w:val="clear" w:color="auto" w:fill="FFFFFF"/>
        </w:rPr>
        <w:t xml:space="preserve"> in individual therapy sessions</w:t>
      </w:r>
    </w:p>
    <w:p w14:paraId="4C0E361E" w14:textId="3766705D" w:rsidR="00DB29B4" w:rsidRPr="00D70672" w:rsidRDefault="00B75380" w:rsidP="00DB29B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sz w:val="20"/>
          <w:szCs w:val="20"/>
        </w:rPr>
        <w:t xml:space="preserve">A </w:t>
      </w:r>
      <w:r w:rsidR="00DB29B4" w:rsidRPr="00D70672">
        <w:rPr>
          <w:sz w:val="20"/>
          <w:szCs w:val="20"/>
        </w:rPr>
        <w:t xml:space="preserve">Peer Support Partner </w:t>
      </w:r>
      <w:r>
        <w:rPr>
          <w:sz w:val="20"/>
          <w:szCs w:val="20"/>
        </w:rPr>
        <w:t>helps the</w:t>
      </w:r>
      <w:r w:rsidR="00DB29B4" w:rsidRPr="00D70672">
        <w:rPr>
          <w:sz w:val="20"/>
          <w:szCs w:val="20"/>
        </w:rPr>
        <w:t xml:space="preserve"> family </w:t>
      </w:r>
      <w:r>
        <w:rPr>
          <w:sz w:val="20"/>
          <w:szCs w:val="20"/>
        </w:rPr>
        <w:t>grow resilience and engage in</w:t>
      </w:r>
      <w:r w:rsidR="00DB29B4" w:rsidRPr="00D70672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DB29B4" w:rsidRPr="00D70672">
        <w:rPr>
          <w:sz w:val="20"/>
          <w:szCs w:val="20"/>
        </w:rPr>
        <w:t xml:space="preserve"> healing journey</w:t>
      </w:r>
    </w:p>
    <w:p w14:paraId="498761D2" w14:textId="439BA65E" w:rsidR="00103410" w:rsidRPr="005E3F0F" w:rsidRDefault="00F07AEC" w:rsidP="0010341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B75380">
        <w:rPr>
          <w:sz w:val="20"/>
          <w:szCs w:val="20"/>
        </w:rPr>
        <w:t>M</w:t>
      </w:r>
      <w:r>
        <w:rPr>
          <w:sz w:val="20"/>
          <w:szCs w:val="20"/>
        </w:rPr>
        <w:t xml:space="preserve">onthly </w:t>
      </w:r>
      <w:r w:rsidR="00B75380">
        <w:rPr>
          <w:sz w:val="20"/>
          <w:szCs w:val="20"/>
        </w:rPr>
        <w:t>M</w:t>
      </w:r>
      <w:r>
        <w:rPr>
          <w:sz w:val="20"/>
          <w:szCs w:val="20"/>
        </w:rPr>
        <w:t xml:space="preserve">eeting </w:t>
      </w:r>
      <w:r w:rsidR="00DA2656">
        <w:rPr>
          <w:sz w:val="20"/>
          <w:szCs w:val="20"/>
        </w:rPr>
        <w:t>with the person, family and all</w:t>
      </w:r>
      <w:r w:rsidR="00103410" w:rsidRPr="005E3F0F">
        <w:rPr>
          <w:sz w:val="20"/>
          <w:szCs w:val="20"/>
        </w:rPr>
        <w:t xml:space="preserve"> a</w:t>
      </w:r>
      <w:r w:rsidR="00DA2656">
        <w:rPr>
          <w:sz w:val="20"/>
          <w:szCs w:val="20"/>
        </w:rPr>
        <w:t>gency staff</w:t>
      </w:r>
      <w:r w:rsidR="00103410" w:rsidRPr="005E3F0F">
        <w:rPr>
          <w:sz w:val="20"/>
          <w:szCs w:val="20"/>
        </w:rPr>
        <w:t xml:space="preserve"> involved in the person’s life</w:t>
      </w:r>
      <w:r w:rsidR="00DA2656">
        <w:rPr>
          <w:sz w:val="20"/>
          <w:szCs w:val="20"/>
        </w:rPr>
        <w:t xml:space="preserve"> so that everyone is keeping in touch about what’s working and what needs </w:t>
      </w:r>
      <w:r w:rsidR="00B75380">
        <w:rPr>
          <w:sz w:val="20"/>
          <w:szCs w:val="20"/>
        </w:rPr>
        <w:t>attention</w:t>
      </w:r>
    </w:p>
    <w:p w14:paraId="69C092B9" w14:textId="705F5BA2" w:rsidR="00103410" w:rsidRPr="005E3F0F" w:rsidRDefault="00D70672" w:rsidP="0010341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103410" w:rsidRPr="005E3F0F">
        <w:rPr>
          <w:sz w:val="20"/>
          <w:szCs w:val="20"/>
        </w:rPr>
        <w:t>raining about trauma, resilience factors, and</w:t>
      </w:r>
      <w:r w:rsidR="00074A56">
        <w:rPr>
          <w:sz w:val="20"/>
          <w:szCs w:val="20"/>
        </w:rPr>
        <w:t xml:space="preserve"> </w:t>
      </w:r>
      <w:r w:rsidR="00103410" w:rsidRPr="005E3F0F">
        <w:rPr>
          <w:sz w:val="20"/>
          <w:szCs w:val="20"/>
        </w:rPr>
        <w:t xml:space="preserve">practical trauma-informed </w:t>
      </w:r>
      <w:r w:rsidR="00DA2656">
        <w:rPr>
          <w:sz w:val="20"/>
          <w:szCs w:val="20"/>
        </w:rPr>
        <w:t>supports</w:t>
      </w:r>
    </w:p>
    <w:p w14:paraId="7943D8F9" w14:textId="14C3F72D" w:rsidR="002602BE" w:rsidRPr="005E3F0F" w:rsidRDefault="00D70672" w:rsidP="00D9272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="002602BE" w:rsidRPr="005E3F0F">
        <w:rPr>
          <w:sz w:val="20"/>
          <w:szCs w:val="20"/>
        </w:rPr>
        <w:t xml:space="preserve">xpert trauma supervision and consultation </w:t>
      </w:r>
      <w:r w:rsidR="00470018">
        <w:rPr>
          <w:sz w:val="20"/>
          <w:szCs w:val="20"/>
        </w:rPr>
        <w:t>for</w:t>
      </w:r>
      <w:r w:rsidR="002602BE" w:rsidRPr="005E3F0F">
        <w:rPr>
          <w:sz w:val="20"/>
          <w:szCs w:val="20"/>
        </w:rPr>
        <w:t xml:space="preserve"> </w:t>
      </w:r>
      <w:r w:rsidR="00627E5C">
        <w:rPr>
          <w:sz w:val="20"/>
          <w:szCs w:val="20"/>
        </w:rPr>
        <w:t>all team members</w:t>
      </w:r>
    </w:p>
    <w:p w14:paraId="3AE7D15A" w14:textId="77777777" w:rsidR="00627E5C" w:rsidRDefault="00627E5C" w:rsidP="00D92720">
      <w:pPr>
        <w:spacing w:after="0"/>
        <w:rPr>
          <w:b/>
          <w:color w:val="1F4E79" w:themeColor="accent1" w:themeShade="80"/>
          <w:sz w:val="24"/>
          <w:szCs w:val="24"/>
        </w:rPr>
      </w:pPr>
    </w:p>
    <w:p w14:paraId="46039C61" w14:textId="77777777" w:rsidR="00B75380" w:rsidRDefault="00B75380" w:rsidP="00D92720">
      <w:pPr>
        <w:spacing w:after="0"/>
        <w:rPr>
          <w:b/>
          <w:color w:val="1F4E79" w:themeColor="accent1" w:themeShade="80"/>
          <w:sz w:val="20"/>
          <w:szCs w:val="20"/>
        </w:rPr>
      </w:pPr>
    </w:p>
    <w:p w14:paraId="6A573E23" w14:textId="04B59AE3" w:rsidR="0059662E" w:rsidRPr="00B7159B" w:rsidRDefault="00627E5C" w:rsidP="00D92720">
      <w:pPr>
        <w:spacing w:after="0"/>
        <w:rPr>
          <w:b/>
          <w:color w:val="1F4E79" w:themeColor="accent1" w:themeShade="80"/>
          <w:sz w:val="20"/>
          <w:szCs w:val="20"/>
        </w:rPr>
      </w:pPr>
      <w:r w:rsidRPr="00B7159B">
        <w:rPr>
          <w:b/>
          <w:color w:val="1F4E79" w:themeColor="accent1" w:themeShade="80"/>
          <w:sz w:val="20"/>
          <w:szCs w:val="20"/>
        </w:rPr>
        <w:t xml:space="preserve">REFERRALS </w:t>
      </w:r>
    </w:p>
    <w:p w14:paraId="2FF7B9C1" w14:textId="66EDC2A0" w:rsidR="00D92720" w:rsidRPr="005E3F0F" w:rsidRDefault="00B75380" w:rsidP="00D92720">
      <w:pPr>
        <w:spacing w:after="0"/>
        <w:rPr>
          <w:sz w:val="20"/>
          <w:szCs w:val="20"/>
        </w:rPr>
      </w:pPr>
      <w:r>
        <w:rPr>
          <w:sz w:val="20"/>
          <w:szCs w:val="20"/>
        </w:rPr>
        <w:t>For Clermont and Hamilton County, r</w:t>
      </w:r>
      <w:r w:rsidR="00D92720" w:rsidRPr="005E3F0F">
        <w:rPr>
          <w:sz w:val="20"/>
          <w:szCs w:val="20"/>
        </w:rPr>
        <w:t>eferrals are encoura</w:t>
      </w:r>
      <w:r w:rsidR="002602BE" w:rsidRPr="005E3F0F">
        <w:rPr>
          <w:sz w:val="20"/>
          <w:szCs w:val="20"/>
        </w:rPr>
        <w:t>ged</w:t>
      </w:r>
      <w:r w:rsidR="005C725C">
        <w:rPr>
          <w:sz w:val="20"/>
          <w:szCs w:val="20"/>
        </w:rPr>
        <w:t xml:space="preserve"> for youth adults ages 8-24</w:t>
      </w:r>
      <w:r w:rsidR="00F07AEC">
        <w:rPr>
          <w:sz w:val="20"/>
          <w:szCs w:val="20"/>
        </w:rPr>
        <w:t xml:space="preserve"> </w:t>
      </w:r>
      <w:r w:rsidR="002602BE" w:rsidRPr="005E3F0F">
        <w:rPr>
          <w:sz w:val="20"/>
          <w:szCs w:val="20"/>
        </w:rPr>
        <w:t>who:</w:t>
      </w:r>
    </w:p>
    <w:p w14:paraId="4D9DF050" w14:textId="77777777" w:rsidR="00D92720" w:rsidRPr="005E3F0F" w:rsidRDefault="002602BE" w:rsidP="00D927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E3F0F">
        <w:rPr>
          <w:sz w:val="20"/>
          <w:szCs w:val="20"/>
        </w:rPr>
        <w:t xml:space="preserve">Are </w:t>
      </w:r>
      <w:r w:rsidR="00D92720" w:rsidRPr="005E3F0F">
        <w:rPr>
          <w:sz w:val="20"/>
          <w:szCs w:val="20"/>
        </w:rPr>
        <w:t xml:space="preserve">Medicaid eligible </w:t>
      </w:r>
    </w:p>
    <w:p w14:paraId="3F1906AD" w14:textId="77777777" w:rsidR="002602BE" w:rsidRPr="0059662E" w:rsidRDefault="004C4168" w:rsidP="0059662E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Are served by the county board of DD and h</w:t>
      </w:r>
      <w:r w:rsidR="002602BE" w:rsidRPr="005E3F0F">
        <w:rPr>
          <w:sz w:val="20"/>
          <w:szCs w:val="20"/>
        </w:rPr>
        <w:t>ave</w:t>
      </w:r>
      <w:r w:rsidR="00D92720" w:rsidRPr="005E3F0F">
        <w:rPr>
          <w:sz w:val="20"/>
          <w:szCs w:val="20"/>
        </w:rPr>
        <w:t xml:space="preserve"> a behavioral health diagnosis</w:t>
      </w:r>
      <w:r>
        <w:rPr>
          <w:sz w:val="20"/>
          <w:szCs w:val="20"/>
        </w:rPr>
        <w:t xml:space="preserve"> (adults);  or a</w:t>
      </w:r>
      <w:r w:rsidR="002602BE" w:rsidRPr="0059662E">
        <w:rPr>
          <w:sz w:val="20"/>
          <w:szCs w:val="20"/>
        </w:rPr>
        <w:t xml:space="preserve">n intellectual/developmental </w:t>
      </w:r>
      <w:r>
        <w:rPr>
          <w:sz w:val="20"/>
          <w:szCs w:val="20"/>
        </w:rPr>
        <w:t>delay and mental health concern (children)</w:t>
      </w:r>
    </w:p>
    <w:p w14:paraId="3E21FDFA" w14:textId="77777777" w:rsidR="00D92720" w:rsidRDefault="00074A56" w:rsidP="00CE58FB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Have</w:t>
      </w:r>
      <w:r w:rsidR="00D92720" w:rsidRPr="005E3F0F">
        <w:rPr>
          <w:sz w:val="20"/>
          <w:szCs w:val="20"/>
        </w:rPr>
        <w:t xml:space="preserve"> a history of trauma or adverse experiences </w:t>
      </w:r>
      <w:r w:rsidR="00CE58FB">
        <w:rPr>
          <w:sz w:val="20"/>
          <w:szCs w:val="20"/>
        </w:rPr>
        <w:t xml:space="preserve"> and a</w:t>
      </w:r>
      <w:r w:rsidR="002602BE" w:rsidRPr="00CE58FB">
        <w:rPr>
          <w:sz w:val="20"/>
          <w:szCs w:val="20"/>
        </w:rPr>
        <w:t>re</w:t>
      </w:r>
      <w:r w:rsidR="00D92720" w:rsidRPr="00CE58FB">
        <w:rPr>
          <w:sz w:val="20"/>
          <w:szCs w:val="20"/>
        </w:rPr>
        <w:t xml:space="preserve"> willing to get to </w:t>
      </w:r>
      <w:r w:rsidRPr="00CE58FB">
        <w:rPr>
          <w:sz w:val="20"/>
          <w:szCs w:val="20"/>
        </w:rPr>
        <w:t xml:space="preserve">engage in </w:t>
      </w:r>
      <w:r w:rsidR="004C4168" w:rsidRPr="00CE58FB">
        <w:rPr>
          <w:sz w:val="20"/>
          <w:szCs w:val="20"/>
        </w:rPr>
        <w:t>project activities</w:t>
      </w:r>
    </w:p>
    <w:p w14:paraId="39194593" w14:textId="51CFE58E" w:rsidR="00F35C9D" w:rsidRPr="00CE58FB" w:rsidRDefault="00F35C9D" w:rsidP="00CE58FB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Referrals must go through the County Board of DD</w:t>
      </w:r>
      <w:r w:rsidR="00DB29B4">
        <w:rPr>
          <w:sz w:val="20"/>
          <w:szCs w:val="20"/>
        </w:rPr>
        <w:t xml:space="preserve">. </w:t>
      </w:r>
      <w:r>
        <w:rPr>
          <w:sz w:val="20"/>
          <w:szCs w:val="20"/>
        </w:rPr>
        <w:t>County bo</w:t>
      </w:r>
      <w:r w:rsidR="00720C8F">
        <w:rPr>
          <w:sz w:val="20"/>
          <w:szCs w:val="20"/>
        </w:rPr>
        <w:t>ard staff can use these guidelines:</w:t>
      </w:r>
    </w:p>
    <w:p w14:paraId="198EE582" w14:textId="77777777" w:rsidR="00627E5C" w:rsidRDefault="00627E5C" w:rsidP="00627E5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For a</w:t>
      </w:r>
      <w:r w:rsidR="00CE58FB">
        <w:rPr>
          <w:sz w:val="20"/>
          <w:szCs w:val="20"/>
        </w:rPr>
        <w:t>dults age 19</w:t>
      </w:r>
      <w:r w:rsidRPr="00627E5C">
        <w:rPr>
          <w:sz w:val="20"/>
          <w:szCs w:val="20"/>
        </w:rPr>
        <w:t xml:space="preserve"> and over living in </w:t>
      </w:r>
      <w:r w:rsidR="002602BE" w:rsidRPr="00627E5C">
        <w:rPr>
          <w:sz w:val="20"/>
          <w:szCs w:val="20"/>
        </w:rPr>
        <w:t>Hamilton County</w:t>
      </w:r>
      <w:r w:rsidRPr="00627E5C">
        <w:rPr>
          <w:sz w:val="20"/>
          <w:szCs w:val="20"/>
        </w:rPr>
        <w:t xml:space="preserve"> or Clermont County – contact Cindi Crew at GCBH</w:t>
      </w:r>
      <w:r w:rsidR="00D92720" w:rsidRPr="00627E5C">
        <w:rPr>
          <w:sz w:val="20"/>
          <w:szCs w:val="20"/>
        </w:rPr>
        <w:t xml:space="preserve">: </w:t>
      </w:r>
      <w:hyperlink r:id="rId7" w:history="1">
        <w:r w:rsidR="002602BE" w:rsidRPr="00627E5C">
          <w:rPr>
            <w:rStyle w:val="Hyperlink"/>
            <w:sz w:val="20"/>
            <w:szCs w:val="20"/>
          </w:rPr>
          <w:t>ccrew@gcbhs.com</w:t>
        </w:r>
      </w:hyperlink>
      <w:r w:rsidR="002602BE" w:rsidRPr="00627E5C">
        <w:rPr>
          <w:sz w:val="20"/>
          <w:szCs w:val="20"/>
        </w:rPr>
        <w:t xml:space="preserve"> </w:t>
      </w:r>
    </w:p>
    <w:p w14:paraId="1A075C2F" w14:textId="7E72EC03" w:rsidR="00627E5C" w:rsidRPr="005C725C" w:rsidRDefault="00627E5C" w:rsidP="00627E5C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For y</w:t>
      </w:r>
      <w:r w:rsidRPr="00627E5C">
        <w:rPr>
          <w:sz w:val="20"/>
          <w:szCs w:val="20"/>
        </w:rPr>
        <w:t xml:space="preserve">outh ages </w:t>
      </w:r>
      <w:r w:rsidR="00691195"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  <w:t>8-</w:t>
      </w:r>
      <w:r w:rsidR="00691195" w:rsidRPr="005C725C"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  <w:t>13</w:t>
      </w:r>
      <w:r w:rsidRPr="005C725C"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  <w:t xml:space="preserve"> living in </w:t>
      </w:r>
      <w:r w:rsidRPr="005C725C">
        <w:rPr>
          <w:sz w:val="20"/>
          <w:szCs w:val="20"/>
        </w:rPr>
        <w:t>Ham</w:t>
      </w:r>
      <w:r w:rsidR="00F35C9D" w:rsidRPr="005C725C">
        <w:rPr>
          <w:sz w:val="20"/>
          <w:szCs w:val="20"/>
        </w:rPr>
        <w:t xml:space="preserve">ilton County or Clermont County, referrals can be sent to Child Focus by email: </w:t>
      </w:r>
      <w:hyperlink r:id="rId8" w:history="1">
        <w:r w:rsidR="00F35C9D" w:rsidRPr="005C725C">
          <w:rPr>
            <w:rStyle w:val="Hyperlink"/>
            <w:sz w:val="20"/>
            <w:szCs w:val="20"/>
          </w:rPr>
          <w:t>referral@child-focus.org</w:t>
        </w:r>
      </w:hyperlink>
      <w:r w:rsidR="00F35C9D" w:rsidRPr="005C725C">
        <w:rPr>
          <w:sz w:val="20"/>
          <w:szCs w:val="20"/>
        </w:rPr>
        <w:t xml:space="preserve">. </w:t>
      </w:r>
      <w:r w:rsidRPr="005C725C">
        <w:rPr>
          <w:sz w:val="20"/>
          <w:szCs w:val="20"/>
        </w:rPr>
        <w:t xml:space="preserve"> </w:t>
      </w:r>
      <w:r w:rsidR="00F35C9D" w:rsidRPr="005C725C">
        <w:rPr>
          <w:sz w:val="20"/>
          <w:szCs w:val="20"/>
        </w:rPr>
        <w:t xml:space="preserve">For questions, or to obtain a Child Focus referral form,  </w:t>
      </w:r>
      <w:r w:rsidRPr="005C725C">
        <w:rPr>
          <w:sz w:val="20"/>
          <w:szCs w:val="20"/>
        </w:rPr>
        <w:t>contact</w:t>
      </w:r>
      <w:r w:rsidR="004F7E1E" w:rsidRPr="005C725C">
        <w:rPr>
          <w:sz w:val="20"/>
          <w:szCs w:val="20"/>
        </w:rPr>
        <w:t xml:space="preserve"> </w:t>
      </w:r>
      <w:r w:rsidRPr="005C725C">
        <w:rPr>
          <w:sz w:val="20"/>
          <w:szCs w:val="20"/>
        </w:rPr>
        <w:t xml:space="preserve"> </w:t>
      </w:r>
      <w:r w:rsidRPr="005C725C"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  <w:t>Laura Stith</w:t>
      </w:r>
      <w:r w:rsidR="004F7E1E" w:rsidRPr="005C725C"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  <w:t xml:space="preserve"> </w:t>
      </w:r>
      <w:hyperlink r:id="rId9" w:history="1">
        <w:r w:rsidRPr="005C725C">
          <w:rPr>
            <w:rStyle w:val="Hyperlink"/>
            <w:rFonts w:cs="Helvetica"/>
            <w:sz w:val="20"/>
            <w:szCs w:val="20"/>
            <w:shd w:val="clear" w:color="auto" w:fill="FFFFFF"/>
          </w:rPr>
          <w:t>Lstith@child-focus.org</w:t>
        </w:r>
      </w:hyperlink>
      <w:r w:rsidR="00DB29B4">
        <w:rPr>
          <w:rStyle w:val="Hyperlink"/>
          <w:rFonts w:cs="Helvetica"/>
          <w:sz w:val="20"/>
          <w:szCs w:val="20"/>
          <w:shd w:val="clear" w:color="auto" w:fill="FFFFFF"/>
        </w:rPr>
        <w:t xml:space="preserve"> </w:t>
      </w:r>
      <w:r w:rsidR="00DB29B4" w:rsidRPr="005C725C"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  <w:t>or J</w:t>
      </w:r>
      <w:r w:rsidR="00DB29B4"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  <w:t>ennifer Rafferty</w:t>
      </w:r>
      <w:r w:rsidR="00DB29B4" w:rsidRPr="005C725C"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  <w:t xml:space="preserve"> at </w:t>
      </w:r>
      <w:hyperlink r:id="rId10" w:history="1">
        <w:r w:rsidR="00DB29B4" w:rsidRPr="00A05AD0">
          <w:rPr>
            <w:rStyle w:val="Hyperlink"/>
            <w:rFonts w:cs="Helvetica"/>
            <w:sz w:val="20"/>
            <w:szCs w:val="20"/>
            <w:shd w:val="clear" w:color="auto" w:fill="FFFFFF"/>
          </w:rPr>
          <w:t>Jrafferty@child-focus.org</w:t>
        </w:r>
      </w:hyperlink>
      <w:r w:rsidR="00DB29B4"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  <w:t xml:space="preserve"> </w:t>
      </w:r>
    </w:p>
    <w:p w14:paraId="27683425" w14:textId="013EB9EB" w:rsidR="00627E5C" w:rsidRDefault="00691195" w:rsidP="00D9355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C725C">
        <w:rPr>
          <w:sz w:val="20"/>
          <w:szCs w:val="20"/>
        </w:rPr>
        <w:t>Hamilton and Clermont County y</w:t>
      </w:r>
      <w:r w:rsidR="00CE58FB" w:rsidRPr="005C725C">
        <w:rPr>
          <w:sz w:val="20"/>
          <w:szCs w:val="20"/>
        </w:rPr>
        <w:t>outh ages 14 - 18</w:t>
      </w:r>
      <w:r w:rsidR="00627E5C" w:rsidRPr="005C725C">
        <w:rPr>
          <w:sz w:val="20"/>
          <w:szCs w:val="20"/>
        </w:rPr>
        <w:t xml:space="preserve"> can be referred to either Child Focus or GCB. GCB and Child Focus will confer to determine which agency is the best match. Contact </w:t>
      </w:r>
      <w:r w:rsidR="00CE58FB" w:rsidRPr="005C725C">
        <w:rPr>
          <w:sz w:val="20"/>
          <w:szCs w:val="20"/>
        </w:rPr>
        <w:t>either agency</w:t>
      </w:r>
      <w:r w:rsidR="005C725C" w:rsidRPr="005C725C">
        <w:rPr>
          <w:sz w:val="20"/>
          <w:szCs w:val="20"/>
        </w:rPr>
        <w:t>.</w:t>
      </w:r>
    </w:p>
    <w:p w14:paraId="52EFAA37" w14:textId="77777777" w:rsidR="00B75380" w:rsidRDefault="00B75380" w:rsidP="00B75380">
      <w:pPr>
        <w:spacing w:after="0"/>
        <w:rPr>
          <w:sz w:val="20"/>
          <w:szCs w:val="20"/>
        </w:rPr>
      </w:pPr>
      <w:r>
        <w:rPr>
          <w:sz w:val="20"/>
          <w:szCs w:val="20"/>
        </w:rPr>
        <w:t>For Butler County, referrals are coordinated through Family and Children</w:t>
      </w:r>
    </w:p>
    <w:p w14:paraId="1D34A964" w14:textId="63A65595" w:rsidR="00B75380" w:rsidRDefault="00B75380" w:rsidP="00B7538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Contact Beth Race at </w:t>
      </w:r>
      <w:hyperlink r:id="rId11" w:history="1">
        <w:r w:rsidRPr="00537998">
          <w:rPr>
            <w:rStyle w:val="Hyperlink"/>
            <w:sz w:val="20"/>
            <w:szCs w:val="20"/>
          </w:rPr>
          <w:t>beth.race@bcesc.org</w:t>
        </w:r>
      </w:hyperlink>
    </w:p>
    <w:p w14:paraId="5E6F0FD0" w14:textId="5103E352" w:rsidR="00B75380" w:rsidRPr="00B75380" w:rsidRDefault="00B75380" w:rsidP="00B75380">
      <w:pPr>
        <w:pStyle w:val="ListParagraph"/>
        <w:spacing w:after="0"/>
        <w:rPr>
          <w:sz w:val="20"/>
          <w:szCs w:val="20"/>
        </w:rPr>
      </w:pPr>
      <w:r w:rsidRPr="00B75380">
        <w:rPr>
          <w:sz w:val="20"/>
          <w:szCs w:val="20"/>
        </w:rPr>
        <w:t xml:space="preserve"> </w:t>
      </w:r>
    </w:p>
    <w:sectPr w:rsidR="00B75380" w:rsidRPr="00B7538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AF1A4" w14:textId="77777777" w:rsidR="00B35840" w:rsidRDefault="00B35840" w:rsidP="00EE7082">
      <w:pPr>
        <w:spacing w:after="0" w:line="240" w:lineRule="auto"/>
      </w:pPr>
      <w:r>
        <w:separator/>
      </w:r>
    </w:p>
  </w:endnote>
  <w:endnote w:type="continuationSeparator" w:id="0">
    <w:p w14:paraId="1C4D46EE" w14:textId="77777777" w:rsidR="00B35840" w:rsidRDefault="00B35840" w:rsidP="00EE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6958" w14:textId="77777777" w:rsidR="00EE7082" w:rsidRPr="00EE7082" w:rsidRDefault="00EE7082" w:rsidP="00EE7082">
    <w:pPr>
      <w:pStyle w:val="Footer"/>
      <w:rPr>
        <w:b/>
      </w:rPr>
    </w:pPr>
  </w:p>
  <w:p w14:paraId="4F6B2D89" w14:textId="77777777" w:rsidR="008B0CE1" w:rsidRPr="00B75380" w:rsidRDefault="00EE7082" w:rsidP="008B0CE1">
    <w:pPr>
      <w:pStyle w:val="Footer"/>
      <w:jc w:val="center"/>
      <w:rPr>
        <w:bCs/>
        <w:sz w:val="18"/>
        <w:szCs w:val="18"/>
      </w:rPr>
    </w:pPr>
    <w:r w:rsidRPr="00B75380">
      <w:rPr>
        <w:bCs/>
        <w:sz w:val="18"/>
        <w:szCs w:val="18"/>
      </w:rPr>
      <w:t>T</w:t>
    </w:r>
    <w:r w:rsidR="008B0CE1" w:rsidRPr="00B75380">
      <w:rPr>
        <w:bCs/>
        <w:sz w:val="18"/>
        <w:szCs w:val="18"/>
      </w:rPr>
      <w:t xml:space="preserve">he Resilience Project is funded by </w:t>
    </w:r>
    <w:r w:rsidR="00D93552" w:rsidRPr="00B75380">
      <w:rPr>
        <w:bCs/>
        <w:sz w:val="18"/>
        <w:szCs w:val="18"/>
      </w:rPr>
      <w:t>Ohio DODD and OhioMHAS</w:t>
    </w:r>
  </w:p>
  <w:p w14:paraId="5DBEAF11" w14:textId="0B7E442D" w:rsidR="00EE7082" w:rsidRPr="00B75380" w:rsidRDefault="00EE7082" w:rsidP="00EE7082">
    <w:pPr>
      <w:pStyle w:val="Footer"/>
      <w:jc w:val="center"/>
      <w:rPr>
        <w:bCs/>
        <w:sz w:val="18"/>
        <w:szCs w:val="18"/>
      </w:rPr>
    </w:pPr>
    <w:r w:rsidRPr="00B75380">
      <w:rPr>
        <w:bCs/>
        <w:sz w:val="18"/>
        <w:szCs w:val="18"/>
      </w:rPr>
      <w:t xml:space="preserve">and administered by </w:t>
    </w:r>
    <w:r w:rsidR="008B0CE1" w:rsidRPr="00B75380">
      <w:rPr>
        <w:bCs/>
        <w:sz w:val="18"/>
        <w:szCs w:val="18"/>
      </w:rPr>
      <w:t>Greater Cincinnati Behavioral Health Services</w:t>
    </w:r>
  </w:p>
  <w:p w14:paraId="060A37F6" w14:textId="25067B51" w:rsidR="00DB29B4" w:rsidRPr="00B75380" w:rsidRDefault="00B75380" w:rsidP="00EE7082">
    <w:pPr>
      <w:pStyle w:val="Footer"/>
      <w:jc w:val="center"/>
      <w:rPr>
        <w:bCs/>
        <w:sz w:val="18"/>
        <w:szCs w:val="18"/>
      </w:rPr>
    </w:pPr>
    <w:r>
      <w:rPr>
        <w:bCs/>
        <w:sz w:val="18"/>
        <w:szCs w:val="18"/>
      </w:rPr>
      <w:t>February 2020</w:t>
    </w:r>
  </w:p>
  <w:p w14:paraId="774F1842" w14:textId="77777777" w:rsidR="00EE7082" w:rsidRDefault="00EE7082">
    <w:pPr>
      <w:pStyle w:val="Footer"/>
    </w:pPr>
  </w:p>
  <w:p w14:paraId="30628A33" w14:textId="77777777" w:rsidR="00EE7082" w:rsidRDefault="00EE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D19D" w14:textId="77777777" w:rsidR="00B35840" w:rsidRDefault="00B35840" w:rsidP="00EE7082">
      <w:pPr>
        <w:spacing w:after="0" w:line="240" w:lineRule="auto"/>
      </w:pPr>
      <w:r>
        <w:separator/>
      </w:r>
    </w:p>
  </w:footnote>
  <w:footnote w:type="continuationSeparator" w:id="0">
    <w:p w14:paraId="5BA43D02" w14:textId="77777777" w:rsidR="00B35840" w:rsidRDefault="00B35840" w:rsidP="00EE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1060" w14:textId="77777777" w:rsidR="00EE7082" w:rsidRPr="00DB29B4" w:rsidRDefault="00EE7082" w:rsidP="00EE7082">
    <w:pPr>
      <w:pStyle w:val="Header"/>
      <w:jc w:val="center"/>
      <w:rPr>
        <w:b/>
        <w:color w:val="1F4E79" w:themeColor="accent1" w:themeShade="80"/>
        <w:sz w:val="28"/>
        <w:szCs w:val="28"/>
      </w:rPr>
    </w:pPr>
    <w:r w:rsidRPr="00DB29B4">
      <w:rPr>
        <w:b/>
        <w:color w:val="1F4E79" w:themeColor="accent1" w:themeShade="80"/>
        <w:sz w:val="28"/>
        <w:szCs w:val="28"/>
      </w:rPr>
      <w:t>RESILIENCE PROJECT</w:t>
    </w:r>
    <w:r w:rsidR="00412C63" w:rsidRPr="00DB29B4">
      <w:rPr>
        <w:b/>
        <w:color w:val="1F4E79" w:themeColor="accent1" w:themeShade="80"/>
        <w:sz w:val="28"/>
        <w:szCs w:val="28"/>
      </w:rPr>
      <w:t xml:space="preserve"> </w:t>
    </w:r>
  </w:p>
  <w:p w14:paraId="0F251675" w14:textId="77777777" w:rsidR="000C5EDA" w:rsidRPr="005C725C" w:rsidRDefault="000C5EDA" w:rsidP="00EE7082">
    <w:pPr>
      <w:pStyle w:val="Header"/>
      <w:jc w:val="center"/>
      <w:rPr>
        <w:b/>
        <w:color w:val="2F5496" w:themeColor="accent5" w:themeShade="BF"/>
        <w:sz w:val="18"/>
        <w:szCs w:val="18"/>
      </w:rPr>
    </w:pPr>
    <w:r w:rsidRPr="005C725C">
      <w:rPr>
        <w:noProof/>
        <w:sz w:val="18"/>
        <w:szCs w:val="18"/>
      </w:rPr>
      <w:drawing>
        <wp:inline distT="0" distB="0" distL="0" distR="0" wp14:anchorId="0AC371BB" wp14:editId="205E2BF9">
          <wp:extent cx="920281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owth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80" cy="52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A7F"/>
    <w:multiLevelType w:val="hybridMultilevel"/>
    <w:tmpl w:val="3CB429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516BF"/>
    <w:multiLevelType w:val="hybridMultilevel"/>
    <w:tmpl w:val="86668F9C"/>
    <w:lvl w:ilvl="0" w:tplc="08285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C4C8A"/>
    <w:multiLevelType w:val="hybridMultilevel"/>
    <w:tmpl w:val="03D4574E"/>
    <w:lvl w:ilvl="0" w:tplc="B04CD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CD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4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8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A5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4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C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47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A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3D0BA9"/>
    <w:multiLevelType w:val="hybridMultilevel"/>
    <w:tmpl w:val="3762FE8E"/>
    <w:lvl w:ilvl="0" w:tplc="43B87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0748"/>
    <w:multiLevelType w:val="hybridMultilevel"/>
    <w:tmpl w:val="D62CFD4A"/>
    <w:lvl w:ilvl="0" w:tplc="8C2CF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4A"/>
    <w:rsid w:val="00067DD1"/>
    <w:rsid w:val="00074A56"/>
    <w:rsid w:val="000C5EDA"/>
    <w:rsid w:val="000D5A3B"/>
    <w:rsid w:val="000E03B8"/>
    <w:rsid w:val="000E5BE3"/>
    <w:rsid w:val="00103410"/>
    <w:rsid w:val="001763F0"/>
    <w:rsid w:val="0020482B"/>
    <w:rsid w:val="00237529"/>
    <w:rsid w:val="0025540F"/>
    <w:rsid w:val="002602BE"/>
    <w:rsid w:val="00273B4A"/>
    <w:rsid w:val="0032130E"/>
    <w:rsid w:val="003C7AE2"/>
    <w:rsid w:val="00412C63"/>
    <w:rsid w:val="00470018"/>
    <w:rsid w:val="00486FAE"/>
    <w:rsid w:val="004C4168"/>
    <w:rsid w:val="004C6481"/>
    <w:rsid w:val="004F7E1E"/>
    <w:rsid w:val="00537991"/>
    <w:rsid w:val="0059662E"/>
    <w:rsid w:val="005C725C"/>
    <w:rsid w:val="005E3F0F"/>
    <w:rsid w:val="00627E5C"/>
    <w:rsid w:val="00691195"/>
    <w:rsid w:val="00694F76"/>
    <w:rsid w:val="006974E7"/>
    <w:rsid w:val="006B5E98"/>
    <w:rsid w:val="006C1ECA"/>
    <w:rsid w:val="006E6432"/>
    <w:rsid w:val="00720C8F"/>
    <w:rsid w:val="007D60EF"/>
    <w:rsid w:val="00842D40"/>
    <w:rsid w:val="00874EE8"/>
    <w:rsid w:val="008B0845"/>
    <w:rsid w:val="008B0CE1"/>
    <w:rsid w:val="008E468D"/>
    <w:rsid w:val="008E57EC"/>
    <w:rsid w:val="008E6C4C"/>
    <w:rsid w:val="00911099"/>
    <w:rsid w:val="00926D00"/>
    <w:rsid w:val="009E2397"/>
    <w:rsid w:val="00A30FA4"/>
    <w:rsid w:val="00A51A31"/>
    <w:rsid w:val="00AC3433"/>
    <w:rsid w:val="00B111E9"/>
    <w:rsid w:val="00B35840"/>
    <w:rsid w:val="00B66024"/>
    <w:rsid w:val="00B7159B"/>
    <w:rsid w:val="00B75380"/>
    <w:rsid w:val="00B91356"/>
    <w:rsid w:val="00BA6927"/>
    <w:rsid w:val="00BB7F50"/>
    <w:rsid w:val="00BF56B0"/>
    <w:rsid w:val="00C20674"/>
    <w:rsid w:val="00C54A32"/>
    <w:rsid w:val="00CD29D7"/>
    <w:rsid w:val="00CE58FB"/>
    <w:rsid w:val="00D70672"/>
    <w:rsid w:val="00D72576"/>
    <w:rsid w:val="00D92720"/>
    <w:rsid w:val="00D93552"/>
    <w:rsid w:val="00DA2656"/>
    <w:rsid w:val="00DB29B4"/>
    <w:rsid w:val="00DC0824"/>
    <w:rsid w:val="00DD3C01"/>
    <w:rsid w:val="00DD58E8"/>
    <w:rsid w:val="00E852C1"/>
    <w:rsid w:val="00E87945"/>
    <w:rsid w:val="00EB374D"/>
    <w:rsid w:val="00EE7082"/>
    <w:rsid w:val="00F07AEC"/>
    <w:rsid w:val="00F20D0B"/>
    <w:rsid w:val="00F35C9D"/>
    <w:rsid w:val="00F41EB4"/>
    <w:rsid w:val="00F6785E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1C693"/>
  <w15:chartTrackingRefBased/>
  <w15:docId w15:val="{AD6CF2E9-047A-4EDC-8E87-63ED4266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7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82"/>
  </w:style>
  <w:style w:type="paragraph" w:styleId="Footer">
    <w:name w:val="footer"/>
    <w:basedOn w:val="Normal"/>
    <w:link w:val="FooterChar"/>
    <w:uiPriority w:val="99"/>
    <w:unhideWhenUsed/>
    <w:rsid w:val="00EE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82"/>
  </w:style>
  <w:style w:type="paragraph" w:styleId="ListParagraph">
    <w:name w:val="List Paragraph"/>
    <w:basedOn w:val="Normal"/>
    <w:uiPriority w:val="34"/>
    <w:qFormat/>
    <w:rsid w:val="00103410"/>
    <w:pPr>
      <w:ind w:left="720"/>
      <w:contextualSpacing/>
    </w:pPr>
  </w:style>
  <w:style w:type="character" w:customStyle="1" w:styleId="addressdispform">
    <w:name w:val="addressdispform"/>
    <w:basedOn w:val="DefaultParagraphFont"/>
    <w:rsid w:val="005E3F0F"/>
  </w:style>
  <w:style w:type="character" w:customStyle="1" w:styleId="bodyhome">
    <w:name w:val="bodyhome"/>
    <w:basedOn w:val="DefaultParagraphFont"/>
    <w:rsid w:val="00074A56"/>
  </w:style>
  <w:style w:type="character" w:styleId="Emphasis">
    <w:name w:val="Emphasis"/>
    <w:basedOn w:val="DefaultParagraphFont"/>
    <w:uiPriority w:val="20"/>
    <w:qFormat/>
    <w:rsid w:val="004C416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B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child-focu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rew@gcbh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th.race@bces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rafferty@child-foc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tith@child-focu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2383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krippenstapel</dc:creator>
  <cp:keywords/>
  <dc:description/>
  <cp:lastModifiedBy>Katie Bachmeyer</cp:lastModifiedBy>
  <cp:revision>2</cp:revision>
  <cp:lastPrinted>2020-03-03T15:03:00Z</cp:lastPrinted>
  <dcterms:created xsi:type="dcterms:W3CDTF">2020-05-15T14:32:00Z</dcterms:created>
  <dcterms:modified xsi:type="dcterms:W3CDTF">2020-05-15T14:32:00Z</dcterms:modified>
</cp:coreProperties>
</file>